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2C" w:rsidRDefault="00E148B1" w:rsidP="00E148B1">
      <w:pPr>
        <w:pStyle w:val="Titre1"/>
      </w:pPr>
      <w:proofErr w:type="spellStart"/>
      <w:r>
        <w:t>Annexe</w:t>
      </w:r>
      <w:proofErr w:type="spellEnd"/>
      <w:r>
        <w:t xml:space="preserve"> 1 à </w:t>
      </w:r>
      <w:proofErr w:type="spellStart"/>
      <w:r>
        <w:t>l’acte</w:t>
      </w:r>
      <w:proofErr w:type="spellEnd"/>
      <w:r>
        <w:t xml:space="preserve"> </w:t>
      </w:r>
      <w:proofErr w:type="spellStart"/>
      <w:r>
        <w:t>d’engagement</w:t>
      </w:r>
      <w:proofErr w:type="spellEnd"/>
      <w:r>
        <w:t xml:space="preserve"> du </w:t>
      </w:r>
      <w:proofErr w:type="spellStart"/>
      <w:r>
        <w:t>marché</w:t>
      </w:r>
      <w:proofErr w:type="spellEnd"/>
      <w:r>
        <w:t xml:space="preserve"> 2019-002 – Acquisition d’un </w:t>
      </w:r>
      <w:proofErr w:type="spellStart"/>
      <w:r>
        <w:t>procédé</w:t>
      </w:r>
      <w:proofErr w:type="spellEnd"/>
      <w:r>
        <w:t xml:space="preserve"> de </w:t>
      </w:r>
      <w:proofErr w:type="spellStart"/>
      <w:r>
        <w:t>sauvegarde</w:t>
      </w:r>
      <w:proofErr w:type="spellEnd"/>
    </w:p>
    <w:p w:rsidR="0061002C" w:rsidRDefault="0061002C">
      <w:pPr>
        <w:rPr>
          <w:sz w:val="20"/>
        </w:rPr>
      </w:pPr>
    </w:p>
    <w:p w:rsidR="0061002C" w:rsidRDefault="0061002C">
      <w:pPr>
        <w:rPr>
          <w:sz w:val="20"/>
        </w:rPr>
      </w:pPr>
    </w:p>
    <w:p w:rsidR="0061002C" w:rsidRDefault="0061002C">
      <w:pPr>
        <w:rPr>
          <w:sz w:val="20"/>
        </w:rPr>
      </w:pPr>
    </w:p>
    <w:p w:rsidR="0061002C" w:rsidRDefault="0061002C">
      <w:pPr>
        <w:rPr>
          <w:sz w:val="20"/>
        </w:rPr>
      </w:pPr>
    </w:p>
    <w:p w:rsidR="0061002C" w:rsidRDefault="0061002C">
      <w:pPr>
        <w:rPr>
          <w:sz w:val="20"/>
        </w:rPr>
      </w:pPr>
    </w:p>
    <w:p w:rsidR="0061002C" w:rsidRDefault="0061002C">
      <w:pPr>
        <w:spacing w:before="6" w:after="1"/>
        <w:rPr>
          <w:sz w:val="17"/>
        </w:rPr>
      </w:pPr>
    </w:p>
    <w:p w:rsidR="0061002C" w:rsidRDefault="00987E52">
      <w:pPr>
        <w:ind w:left="111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6221095" cy="429895"/>
                <wp:effectExtent l="13970" t="12065" r="13335" b="1524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42989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002C" w:rsidRDefault="00987E52">
                            <w:pPr>
                              <w:pStyle w:val="Corpsdetexte"/>
                              <w:spacing w:before="55"/>
                              <w:ind w:left="1550" w:right="1541"/>
                              <w:jc w:val="center"/>
                            </w:pPr>
                            <w:r>
                              <w:t>DPGF</w:t>
                            </w:r>
                          </w:p>
                          <w:p w:rsidR="0061002C" w:rsidRDefault="00987E52">
                            <w:pPr>
                              <w:pStyle w:val="Corpsdetexte"/>
                              <w:spacing w:before="37"/>
                              <w:ind w:left="1586" w:right="1541"/>
                              <w:jc w:val="center"/>
                            </w:pPr>
                            <w:r>
                              <w:t>"</w:t>
                            </w:r>
                            <w:r w:rsidR="00580FFB">
                              <w:t xml:space="preserve">Acquisition d’un </w:t>
                            </w:r>
                            <w:proofErr w:type="spellStart"/>
                            <w:r w:rsidR="00580FFB">
                              <w:t>procédé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sauvegarde</w:t>
                            </w:r>
                            <w:proofErr w:type="spellEnd"/>
                            <w: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9.85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" filled="f" strokeweight=".96pt">
                <v:textbox inset="0,0,0,0">
                  <w:txbxContent>
                    <w:p w:rsidR="0061002C" w:rsidRDefault="00987E52">
                      <w:pPr>
                        <w:pStyle w:val="Corpsdetexte"/>
                        <w:spacing w:before="55"/>
                        <w:ind w:left="1550" w:right="1541"/>
                        <w:jc w:val="center"/>
                      </w:pPr>
                      <w:r>
                        <w:t>DPGF</w:t>
                      </w:r>
                    </w:p>
                    <w:p w:rsidR="0061002C" w:rsidRDefault="00987E52">
                      <w:pPr>
                        <w:pStyle w:val="Corpsdetexte"/>
                        <w:spacing w:before="37"/>
                        <w:ind w:left="1586" w:right="1541"/>
                        <w:jc w:val="center"/>
                      </w:pPr>
                      <w:r>
                        <w:t>"</w:t>
                      </w:r>
                      <w:r w:rsidR="00580FFB">
                        <w:t>Acquisition d’un procédé</w:t>
                      </w:r>
                      <w:r>
                        <w:t xml:space="preserve"> de sauvegarde"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002C" w:rsidRDefault="0061002C">
      <w:pPr>
        <w:spacing w:before="4" w:after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124"/>
      </w:tblGrid>
      <w:tr w:rsidR="0061002C">
        <w:trPr>
          <w:trHeight w:val="550"/>
        </w:trPr>
        <w:tc>
          <w:tcPr>
            <w:tcW w:w="4673" w:type="dxa"/>
          </w:tcPr>
          <w:p w:rsidR="0061002C" w:rsidRDefault="00987E52">
            <w:pPr>
              <w:pStyle w:val="TableParagraph"/>
              <w:spacing w:before="146"/>
              <w:ind w:left="132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Fournitures</w:t>
            </w:r>
            <w:proofErr w:type="spellEnd"/>
            <w:r>
              <w:rPr>
                <w:b/>
                <w:sz w:val="21"/>
              </w:rPr>
              <w:t xml:space="preserve"> / </w:t>
            </w:r>
            <w:proofErr w:type="spellStart"/>
            <w:r>
              <w:rPr>
                <w:b/>
                <w:sz w:val="21"/>
              </w:rPr>
              <w:t>Travaux</w:t>
            </w:r>
            <w:proofErr w:type="spellEnd"/>
          </w:p>
        </w:tc>
        <w:tc>
          <w:tcPr>
            <w:tcW w:w="5124" w:type="dxa"/>
          </w:tcPr>
          <w:p w:rsidR="0061002C" w:rsidRDefault="00987E52">
            <w:pPr>
              <w:pStyle w:val="TableParagraph"/>
              <w:spacing w:before="156"/>
              <w:ind w:left="2171" w:right="21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Prix HT</w:t>
            </w:r>
          </w:p>
        </w:tc>
      </w:tr>
      <w:tr w:rsidR="0061002C">
        <w:trPr>
          <w:trHeight w:val="550"/>
        </w:trPr>
        <w:tc>
          <w:tcPr>
            <w:tcW w:w="4673" w:type="dxa"/>
          </w:tcPr>
          <w:p w:rsidR="0061002C" w:rsidRDefault="003E57ED" w:rsidP="006A201F">
            <w:r>
              <w:t xml:space="preserve">Pilotage </w:t>
            </w:r>
            <w:proofErr w:type="spellStart"/>
            <w:r>
              <w:t>général</w:t>
            </w:r>
            <w:proofErr w:type="spellEnd"/>
            <w:r>
              <w:t xml:space="preserve"> du </w:t>
            </w:r>
            <w:proofErr w:type="spellStart"/>
            <w:r>
              <w:t>projet</w:t>
            </w:r>
            <w:proofErr w:type="spellEnd"/>
            <w:r>
              <w:t xml:space="preserve"> : ré</w:t>
            </w:r>
            <w:bookmarkStart w:id="0" w:name="_GoBack"/>
            <w:bookmarkEnd w:id="0"/>
            <w:r w:rsidR="006A201F">
              <w:t xml:space="preserve">unions de </w:t>
            </w:r>
            <w:proofErr w:type="spellStart"/>
            <w:r w:rsidR="006A201F">
              <w:t>lancement</w:t>
            </w:r>
            <w:proofErr w:type="spellEnd"/>
            <w:r w:rsidR="006A201F">
              <w:t xml:space="preserve"> et de </w:t>
            </w:r>
            <w:proofErr w:type="spellStart"/>
            <w:r w:rsidR="006A201F">
              <w:t>suivi</w:t>
            </w:r>
            <w:proofErr w:type="spellEnd"/>
            <w:r w:rsidR="006A201F">
              <w:t xml:space="preserve">, planning, documentation </w:t>
            </w:r>
            <w:proofErr w:type="spellStart"/>
            <w:r w:rsidR="006A201F">
              <w:t>associée</w:t>
            </w:r>
            <w:proofErr w:type="spellEnd"/>
            <w:r w:rsidR="006A201F">
              <w:t xml:space="preserve"> (installation et exploitation)</w:t>
            </w:r>
          </w:p>
        </w:tc>
        <w:tc>
          <w:tcPr>
            <w:tcW w:w="5124" w:type="dxa"/>
          </w:tcPr>
          <w:p w:rsidR="0061002C" w:rsidRDefault="0061002C">
            <w:pPr>
              <w:pStyle w:val="TableParagraph"/>
              <w:rPr>
                <w:sz w:val="20"/>
              </w:rPr>
            </w:pPr>
          </w:p>
        </w:tc>
      </w:tr>
      <w:tr w:rsidR="0061002C">
        <w:trPr>
          <w:trHeight w:val="550"/>
        </w:trPr>
        <w:tc>
          <w:tcPr>
            <w:tcW w:w="4673" w:type="dxa"/>
          </w:tcPr>
          <w:p w:rsidR="0061002C" w:rsidRDefault="006A201F" w:rsidP="006A201F">
            <w:pPr>
              <w:rPr>
                <w:sz w:val="21"/>
              </w:rPr>
            </w:pPr>
            <w:proofErr w:type="spellStart"/>
            <w:r>
              <w:t>Fourniture</w:t>
            </w:r>
            <w:proofErr w:type="spellEnd"/>
            <w:r>
              <w:t xml:space="preserve">, </w:t>
            </w: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place et </w:t>
            </w:r>
            <w:proofErr w:type="spellStart"/>
            <w:r>
              <w:t>raccordement</w:t>
            </w:r>
            <w:proofErr w:type="spellEnd"/>
            <w:r>
              <w:t xml:space="preserve"> de </w:t>
            </w:r>
            <w:proofErr w:type="spellStart"/>
            <w:r>
              <w:t>l’ensemble</w:t>
            </w:r>
            <w:proofErr w:type="spellEnd"/>
            <w:r>
              <w:t xml:space="preserve"> des liaisons entre </w:t>
            </w:r>
            <w:proofErr w:type="spellStart"/>
            <w:r>
              <w:t>équipements</w:t>
            </w:r>
            <w:proofErr w:type="spellEnd"/>
            <w:r>
              <w:t xml:space="preserve"> et </w:t>
            </w:r>
            <w:proofErr w:type="spellStart"/>
            <w:r>
              <w:t>connectiques</w:t>
            </w:r>
            <w:proofErr w:type="spellEnd"/>
            <w:r>
              <w:t xml:space="preserve"> </w:t>
            </w:r>
            <w:proofErr w:type="spellStart"/>
            <w:r>
              <w:t>mises</w:t>
            </w:r>
            <w:proofErr w:type="spellEnd"/>
            <w:r>
              <w:t xml:space="preserve"> à disposition par </w:t>
            </w:r>
            <w:proofErr w:type="spellStart"/>
            <w:r>
              <w:t>l'EIVP</w:t>
            </w:r>
            <w:proofErr w:type="spellEnd"/>
          </w:p>
        </w:tc>
        <w:tc>
          <w:tcPr>
            <w:tcW w:w="5124" w:type="dxa"/>
          </w:tcPr>
          <w:p w:rsidR="0061002C" w:rsidRDefault="0061002C">
            <w:pPr>
              <w:pStyle w:val="TableParagraph"/>
              <w:rPr>
                <w:sz w:val="20"/>
              </w:rPr>
            </w:pPr>
          </w:p>
        </w:tc>
      </w:tr>
      <w:tr w:rsidR="0061002C">
        <w:trPr>
          <w:trHeight w:val="550"/>
        </w:trPr>
        <w:tc>
          <w:tcPr>
            <w:tcW w:w="4673" w:type="dxa"/>
          </w:tcPr>
          <w:p w:rsidR="0061002C" w:rsidRDefault="006A201F" w:rsidP="006A201F">
            <w:pPr>
              <w:rPr>
                <w:sz w:val="21"/>
              </w:rPr>
            </w:pPr>
            <w:proofErr w:type="spellStart"/>
            <w:r>
              <w:t>Fourniture</w:t>
            </w:r>
            <w:proofErr w:type="spellEnd"/>
            <w:r>
              <w:t xml:space="preserve">, installation et </w:t>
            </w:r>
            <w:proofErr w:type="spellStart"/>
            <w:r>
              <w:t>paramétrage</w:t>
            </w:r>
            <w:proofErr w:type="spellEnd"/>
            <w:r>
              <w:t xml:space="preserve"> des </w:t>
            </w:r>
            <w:proofErr w:type="spellStart"/>
            <w:r>
              <w:t>nœuds</w:t>
            </w:r>
            <w:proofErr w:type="spellEnd"/>
            <w:r>
              <w:t xml:space="preserve"> de </w:t>
            </w:r>
            <w:proofErr w:type="spellStart"/>
            <w:r>
              <w:t>sauvegarde</w:t>
            </w:r>
            <w:proofErr w:type="spellEnd"/>
          </w:p>
        </w:tc>
        <w:tc>
          <w:tcPr>
            <w:tcW w:w="5124" w:type="dxa"/>
          </w:tcPr>
          <w:p w:rsidR="0061002C" w:rsidRDefault="0061002C">
            <w:pPr>
              <w:pStyle w:val="TableParagraph"/>
              <w:spacing w:before="153"/>
              <w:ind w:left="32"/>
              <w:rPr>
                <w:sz w:val="21"/>
              </w:rPr>
            </w:pPr>
          </w:p>
        </w:tc>
      </w:tr>
      <w:tr w:rsidR="0061002C">
        <w:trPr>
          <w:trHeight w:val="550"/>
        </w:trPr>
        <w:tc>
          <w:tcPr>
            <w:tcW w:w="4673" w:type="dxa"/>
          </w:tcPr>
          <w:p w:rsidR="0061002C" w:rsidRDefault="006A201F" w:rsidP="006A201F">
            <w:pPr>
              <w:rPr>
                <w:sz w:val="21"/>
              </w:rPr>
            </w:pPr>
            <w:proofErr w:type="spellStart"/>
            <w:r>
              <w:t>Fourniture</w:t>
            </w:r>
            <w:proofErr w:type="spellEnd"/>
            <w:r>
              <w:t xml:space="preserve">, installation et </w:t>
            </w:r>
            <w:proofErr w:type="spellStart"/>
            <w:r>
              <w:t>paramétrage</w:t>
            </w:r>
            <w:proofErr w:type="spellEnd"/>
            <w:r>
              <w:t xml:space="preserve"> de la solution de </w:t>
            </w:r>
            <w:proofErr w:type="spellStart"/>
            <w:r>
              <w:t>sauvegarde</w:t>
            </w:r>
            <w:proofErr w:type="spellEnd"/>
          </w:p>
        </w:tc>
        <w:tc>
          <w:tcPr>
            <w:tcW w:w="5124" w:type="dxa"/>
          </w:tcPr>
          <w:p w:rsidR="0061002C" w:rsidRDefault="0061002C">
            <w:pPr>
              <w:pStyle w:val="TableParagraph"/>
              <w:rPr>
                <w:sz w:val="20"/>
              </w:rPr>
            </w:pPr>
          </w:p>
        </w:tc>
      </w:tr>
      <w:tr w:rsidR="0061002C">
        <w:trPr>
          <w:trHeight w:val="550"/>
        </w:trPr>
        <w:tc>
          <w:tcPr>
            <w:tcW w:w="4673" w:type="dxa"/>
          </w:tcPr>
          <w:p w:rsidR="0061002C" w:rsidRDefault="006A201F" w:rsidP="006A201F">
            <w:proofErr w:type="spellStart"/>
            <w:r>
              <w:t>Transfert</w:t>
            </w:r>
            <w:proofErr w:type="spellEnd"/>
            <w:r>
              <w:t xml:space="preserve"> de </w:t>
            </w:r>
            <w:proofErr w:type="spellStart"/>
            <w:r>
              <w:t>compétence</w:t>
            </w:r>
            <w:proofErr w:type="spellEnd"/>
            <w:r>
              <w:t xml:space="preserve">  de la solution et </w:t>
            </w:r>
            <w:proofErr w:type="spellStart"/>
            <w:r>
              <w:t>sa</w:t>
            </w:r>
            <w:proofErr w:type="spellEnd"/>
            <w:r>
              <w:t xml:space="preserve"> documentation </w:t>
            </w:r>
            <w:proofErr w:type="spellStart"/>
            <w:r>
              <w:t>associée</w:t>
            </w:r>
            <w:proofErr w:type="spellEnd"/>
          </w:p>
        </w:tc>
        <w:tc>
          <w:tcPr>
            <w:tcW w:w="5124" w:type="dxa"/>
          </w:tcPr>
          <w:p w:rsidR="0061002C" w:rsidRDefault="0061002C">
            <w:pPr>
              <w:pStyle w:val="TableParagraph"/>
              <w:rPr>
                <w:sz w:val="20"/>
              </w:rPr>
            </w:pPr>
          </w:p>
        </w:tc>
      </w:tr>
      <w:tr w:rsidR="0061002C">
        <w:trPr>
          <w:trHeight w:val="550"/>
        </w:trPr>
        <w:tc>
          <w:tcPr>
            <w:tcW w:w="4673" w:type="dxa"/>
          </w:tcPr>
          <w:p w:rsidR="0061002C" w:rsidRDefault="006A201F" w:rsidP="006A201F">
            <w:proofErr w:type="spellStart"/>
            <w:r>
              <w:t>Garantie</w:t>
            </w:r>
            <w:proofErr w:type="spellEnd"/>
            <w:r>
              <w:t xml:space="preserve"> </w:t>
            </w:r>
            <w:proofErr w:type="spellStart"/>
            <w:r>
              <w:t>constructeur</w:t>
            </w:r>
            <w:proofErr w:type="spellEnd"/>
            <w:r>
              <w:t xml:space="preserve"> 3 </w:t>
            </w:r>
            <w:proofErr w:type="spellStart"/>
            <w:r>
              <w:t>ans</w:t>
            </w:r>
            <w:proofErr w:type="spellEnd"/>
          </w:p>
        </w:tc>
        <w:tc>
          <w:tcPr>
            <w:tcW w:w="5124" w:type="dxa"/>
          </w:tcPr>
          <w:p w:rsidR="0061002C" w:rsidRDefault="0061002C">
            <w:pPr>
              <w:pStyle w:val="TableParagraph"/>
              <w:rPr>
                <w:sz w:val="20"/>
              </w:rPr>
            </w:pPr>
          </w:p>
        </w:tc>
      </w:tr>
      <w:tr w:rsidR="0061002C">
        <w:trPr>
          <w:trHeight w:val="550"/>
        </w:trPr>
        <w:tc>
          <w:tcPr>
            <w:tcW w:w="4673" w:type="dxa"/>
          </w:tcPr>
          <w:p w:rsidR="0061002C" w:rsidRDefault="0061002C">
            <w:pPr>
              <w:pStyle w:val="TableParagraph"/>
              <w:spacing w:before="144"/>
              <w:ind w:left="1410"/>
              <w:rPr>
                <w:sz w:val="21"/>
              </w:rPr>
            </w:pPr>
          </w:p>
        </w:tc>
        <w:tc>
          <w:tcPr>
            <w:tcW w:w="5124" w:type="dxa"/>
          </w:tcPr>
          <w:p w:rsidR="0061002C" w:rsidRDefault="0061002C">
            <w:pPr>
              <w:pStyle w:val="TableParagraph"/>
              <w:rPr>
                <w:sz w:val="20"/>
              </w:rPr>
            </w:pPr>
          </w:p>
        </w:tc>
      </w:tr>
      <w:tr w:rsidR="0061002C">
        <w:trPr>
          <w:trHeight w:val="550"/>
        </w:trPr>
        <w:tc>
          <w:tcPr>
            <w:tcW w:w="4673" w:type="dxa"/>
          </w:tcPr>
          <w:p w:rsidR="0061002C" w:rsidRDefault="00987E52">
            <w:pPr>
              <w:pStyle w:val="TableParagraph"/>
              <w:spacing w:before="146"/>
              <w:ind w:left="1770" w:right="17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TOTAL HT</w:t>
            </w:r>
          </w:p>
        </w:tc>
        <w:tc>
          <w:tcPr>
            <w:tcW w:w="5124" w:type="dxa"/>
          </w:tcPr>
          <w:p w:rsidR="0061002C" w:rsidRDefault="0061002C">
            <w:pPr>
              <w:pStyle w:val="TableParagraph"/>
              <w:rPr>
                <w:sz w:val="20"/>
              </w:rPr>
            </w:pPr>
          </w:p>
        </w:tc>
      </w:tr>
    </w:tbl>
    <w:p w:rsidR="0061002C" w:rsidRDefault="0061002C">
      <w:pPr>
        <w:rPr>
          <w:sz w:val="20"/>
        </w:rPr>
      </w:pPr>
    </w:p>
    <w:p w:rsidR="0061002C" w:rsidRDefault="0061002C">
      <w:pPr>
        <w:spacing w:before="10" w:after="1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6401"/>
      </w:tblGrid>
      <w:tr w:rsidR="0061002C">
        <w:trPr>
          <w:trHeight w:val="556"/>
        </w:trPr>
        <w:tc>
          <w:tcPr>
            <w:tcW w:w="9797" w:type="dxa"/>
            <w:gridSpan w:val="2"/>
          </w:tcPr>
          <w:p w:rsidR="0061002C" w:rsidRDefault="00987E52">
            <w:pPr>
              <w:pStyle w:val="TableParagraph"/>
              <w:spacing w:before="143"/>
              <w:ind w:left="4184" w:right="4151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Lu et </w:t>
            </w:r>
            <w:proofErr w:type="spellStart"/>
            <w:r>
              <w:rPr>
                <w:rFonts w:ascii="Arial" w:hAnsi="Arial"/>
                <w:sz w:val="21"/>
              </w:rPr>
              <w:t>approuvé</w:t>
            </w:r>
            <w:proofErr w:type="spellEnd"/>
          </w:p>
        </w:tc>
      </w:tr>
      <w:tr w:rsidR="0061002C">
        <w:trPr>
          <w:trHeight w:val="556"/>
        </w:trPr>
        <w:tc>
          <w:tcPr>
            <w:tcW w:w="3396" w:type="dxa"/>
          </w:tcPr>
          <w:p w:rsidR="0061002C" w:rsidRDefault="00987E52">
            <w:pPr>
              <w:pStyle w:val="TableParagraph"/>
              <w:spacing w:before="153"/>
              <w:ind w:right="18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5"/>
                <w:sz w:val="21"/>
              </w:rPr>
              <w:t>Date :</w:t>
            </w:r>
          </w:p>
        </w:tc>
        <w:tc>
          <w:tcPr>
            <w:tcW w:w="6401" w:type="dxa"/>
          </w:tcPr>
          <w:p w:rsidR="0061002C" w:rsidRDefault="0061002C">
            <w:pPr>
              <w:pStyle w:val="TableParagraph"/>
              <w:rPr>
                <w:sz w:val="20"/>
              </w:rPr>
            </w:pPr>
          </w:p>
        </w:tc>
      </w:tr>
      <w:tr w:rsidR="0061002C">
        <w:trPr>
          <w:trHeight w:val="556"/>
        </w:trPr>
        <w:tc>
          <w:tcPr>
            <w:tcW w:w="3396" w:type="dxa"/>
          </w:tcPr>
          <w:p w:rsidR="0061002C" w:rsidRDefault="00987E52">
            <w:pPr>
              <w:pStyle w:val="TableParagraph"/>
              <w:spacing w:before="153"/>
              <w:ind w:right="16"/>
              <w:jc w:val="right"/>
              <w:rPr>
                <w:rFonts w:ascii="Arial" w:hAnsi="Arial"/>
                <w:sz w:val="21"/>
              </w:rPr>
            </w:pPr>
            <w:proofErr w:type="spellStart"/>
            <w:r>
              <w:rPr>
                <w:rFonts w:ascii="Arial" w:hAnsi="Arial"/>
                <w:w w:val="95"/>
                <w:sz w:val="21"/>
              </w:rPr>
              <w:t>Qualité</w:t>
            </w:r>
            <w:proofErr w:type="spellEnd"/>
            <w:r>
              <w:rPr>
                <w:rFonts w:ascii="Arial" w:hAnsi="Arial"/>
                <w:w w:val="95"/>
                <w:sz w:val="21"/>
              </w:rPr>
              <w:t xml:space="preserve"> du </w:t>
            </w:r>
            <w:proofErr w:type="spellStart"/>
            <w:r>
              <w:rPr>
                <w:rFonts w:ascii="Arial" w:hAnsi="Arial"/>
                <w:w w:val="95"/>
                <w:sz w:val="21"/>
              </w:rPr>
              <w:t>signataire</w:t>
            </w:r>
            <w:proofErr w:type="spellEnd"/>
            <w:r>
              <w:rPr>
                <w:rFonts w:ascii="Arial" w:hAnsi="Arial"/>
                <w:w w:val="95"/>
                <w:sz w:val="21"/>
              </w:rPr>
              <w:t xml:space="preserve"> :</w:t>
            </w:r>
          </w:p>
        </w:tc>
        <w:tc>
          <w:tcPr>
            <w:tcW w:w="6401" w:type="dxa"/>
          </w:tcPr>
          <w:p w:rsidR="0061002C" w:rsidRDefault="0061002C">
            <w:pPr>
              <w:pStyle w:val="TableParagraph"/>
              <w:rPr>
                <w:sz w:val="20"/>
              </w:rPr>
            </w:pPr>
          </w:p>
        </w:tc>
      </w:tr>
      <w:tr w:rsidR="0061002C">
        <w:trPr>
          <w:trHeight w:val="1808"/>
        </w:trPr>
        <w:tc>
          <w:tcPr>
            <w:tcW w:w="3396" w:type="dxa"/>
          </w:tcPr>
          <w:p w:rsidR="0061002C" w:rsidRDefault="0061002C">
            <w:pPr>
              <w:pStyle w:val="TableParagraph"/>
              <w:rPr>
                <w:sz w:val="20"/>
              </w:rPr>
            </w:pPr>
          </w:p>
          <w:p w:rsidR="0061002C" w:rsidRDefault="0061002C">
            <w:pPr>
              <w:pStyle w:val="TableParagraph"/>
              <w:rPr>
                <w:sz w:val="20"/>
              </w:rPr>
            </w:pPr>
          </w:p>
          <w:p w:rsidR="0061002C" w:rsidRDefault="0061002C">
            <w:pPr>
              <w:pStyle w:val="TableParagraph"/>
              <w:spacing w:before="9"/>
              <w:rPr>
                <w:sz w:val="27"/>
              </w:rPr>
            </w:pPr>
          </w:p>
          <w:p w:rsidR="0061002C" w:rsidRDefault="00987E52">
            <w:pPr>
              <w:pStyle w:val="TableParagraph"/>
              <w:ind w:right="1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95"/>
                <w:sz w:val="21"/>
              </w:rPr>
              <w:t>Signature et cachet :</w:t>
            </w:r>
          </w:p>
        </w:tc>
        <w:tc>
          <w:tcPr>
            <w:tcW w:w="6401" w:type="dxa"/>
          </w:tcPr>
          <w:p w:rsidR="0061002C" w:rsidRDefault="0061002C">
            <w:pPr>
              <w:pStyle w:val="TableParagraph"/>
              <w:rPr>
                <w:sz w:val="20"/>
              </w:rPr>
            </w:pPr>
          </w:p>
        </w:tc>
      </w:tr>
    </w:tbl>
    <w:p w:rsidR="0061002C" w:rsidRDefault="0061002C">
      <w:pPr>
        <w:rPr>
          <w:sz w:val="20"/>
        </w:rPr>
      </w:pPr>
    </w:p>
    <w:sectPr w:rsidR="0061002C">
      <w:pgSz w:w="11900" w:h="16840"/>
      <w:pgMar w:top="16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2C"/>
    <w:rsid w:val="003E57ED"/>
    <w:rsid w:val="00580FFB"/>
    <w:rsid w:val="0061002C"/>
    <w:rsid w:val="006A201F"/>
    <w:rsid w:val="00987E52"/>
    <w:rsid w:val="00E1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2800"/>
  <w15:docId w15:val="{B0867849-88F1-4472-8FB3-1B2B8A6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E14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E148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DPGF Marché Solution de Sauv et Stokc SI 2018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DPGF Marché Solution de Sauv et Stokc SI 2018</dc:title>
  <dc:creator>quenot</dc:creator>
  <cp:lastModifiedBy>Bouard Marie</cp:lastModifiedBy>
  <cp:revision>5</cp:revision>
  <dcterms:created xsi:type="dcterms:W3CDTF">2019-03-12T11:13:00Z</dcterms:created>
  <dcterms:modified xsi:type="dcterms:W3CDTF">2019-03-13T15:45:00Z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2019-03-12T00:00:00Z</vt:filetime>
  </property>
</Properties>
</file>